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EF" w:rsidRPr="002570A6" w:rsidRDefault="002F7AEF" w:rsidP="00337F53">
      <w:pPr>
        <w:rPr>
          <w:szCs w:val="24"/>
          <w:lang w:val="lv-LV"/>
        </w:rPr>
      </w:pPr>
      <w:bookmarkStart w:id="0" w:name="_GoBack"/>
      <w:bookmarkEnd w:id="0"/>
    </w:p>
    <w:tbl>
      <w:tblPr>
        <w:tblW w:w="6096" w:type="dxa"/>
        <w:tblLayout w:type="fixed"/>
        <w:tblCellMar>
          <w:left w:w="28" w:type="dxa"/>
          <w:right w:w="28" w:type="dxa"/>
        </w:tblCellMar>
        <w:tblLook w:val="00A0" w:firstRow="1" w:lastRow="0" w:firstColumn="1" w:lastColumn="0" w:noHBand="0" w:noVBand="0"/>
      </w:tblPr>
      <w:tblGrid>
        <w:gridCol w:w="453"/>
        <w:gridCol w:w="2241"/>
        <w:gridCol w:w="566"/>
        <w:gridCol w:w="2836"/>
      </w:tblGrid>
      <w:tr w:rsidR="002F7AEF" w:rsidTr="005C7AB7">
        <w:trPr>
          <w:cantSplit/>
          <w:trHeight w:hRule="exact" w:val="397"/>
        </w:trPr>
        <w:tc>
          <w:tcPr>
            <w:tcW w:w="2694" w:type="dxa"/>
            <w:gridSpan w:val="2"/>
            <w:tcBorders>
              <w:top w:val="nil"/>
              <w:left w:val="nil"/>
              <w:bottom w:val="single" w:sz="4" w:space="0" w:color="auto"/>
              <w:right w:val="nil"/>
            </w:tcBorders>
          </w:tcPr>
          <w:p w:rsidR="002F7AEF" w:rsidRPr="002570A6" w:rsidRDefault="002F7AEF" w:rsidP="005C7AB7">
            <w:pPr>
              <w:pStyle w:val="Bezatstarpm"/>
              <w:rPr>
                <w:lang w:val="lv-LV"/>
              </w:rPr>
            </w:pPr>
            <w:r w:rsidRPr="002570A6">
              <w:rPr>
                <w:noProof/>
                <w:lang w:val="lv-LV"/>
              </w:rPr>
              <w:t>Datums skatāms laika zīmogā</w:t>
            </w:r>
          </w:p>
        </w:tc>
        <w:tc>
          <w:tcPr>
            <w:tcW w:w="566" w:type="dxa"/>
          </w:tcPr>
          <w:p w:rsidR="002F7AEF" w:rsidRPr="002570A6" w:rsidRDefault="002F7AEF" w:rsidP="005C7AB7">
            <w:pPr>
              <w:pStyle w:val="Bezatstarpm"/>
              <w:rPr>
                <w:lang w:val="lv-LV"/>
              </w:rPr>
            </w:pPr>
            <w:r w:rsidRPr="002570A6">
              <w:rPr>
                <w:lang w:val="lv-LV"/>
              </w:rPr>
              <w:t xml:space="preserve"> Nr.</w:t>
            </w:r>
          </w:p>
        </w:tc>
        <w:tc>
          <w:tcPr>
            <w:tcW w:w="2836" w:type="dxa"/>
            <w:tcBorders>
              <w:top w:val="nil"/>
              <w:left w:val="nil"/>
              <w:bottom w:val="single" w:sz="4" w:space="0" w:color="auto"/>
              <w:right w:val="nil"/>
            </w:tcBorders>
          </w:tcPr>
          <w:p w:rsidR="002F7AEF" w:rsidRPr="002570A6" w:rsidRDefault="002F7AEF" w:rsidP="005C7AB7">
            <w:pPr>
              <w:pStyle w:val="Bezatstarpm"/>
              <w:rPr>
                <w:lang w:val="lv-LV"/>
              </w:rPr>
            </w:pPr>
            <w:r w:rsidRPr="002570A6">
              <w:rPr>
                <w:noProof/>
                <w:lang w:val="lv-LV"/>
              </w:rPr>
              <w:t>4.2-1.2e/1778/2019</w:t>
            </w:r>
          </w:p>
        </w:tc>
      </w:tr>
      <w:tr w:rsidR="002F7AEF" w:rsidTr="005C7AB7">
        <w:trPr>
          <w:cantSplit/>
          <w:trHeight w:hRule="exact" w:val="397"/>
        </w:trPr>
        <w:tc>
          <w:tcPr>
            <w:tcW w:w="453" w:type="dxa"/>
          </w:tcPr>
          <w:p w:rsidR="002F7AEF" w:rsidRPr="002570A6" w:rsidRDefault="002F7AEF" w:rsidP="005C7AB7">
            <w:pPr>
              <w:pStyle w:val="Bezatstarpm"/>
              <w:rPr>
                <w:lang w:val="lv-LV"/>
              </w:rPr>
            </w:pPr>
            <w:r w:rsidRPr="002570A6">
              <w:rPr>
                <w:lang w:val="lv-LV"/>
              </w:rPr>
              <w:t>Uz</w:t>
            </w:r>
          </w:p>
        </w:tc>
        <w:tc>
          <w:tcPr>
            <w:tcW w:w="2241" w:type="dxa"/>
            <w:tcBorders>
              <w:top w:val="nil"/>
              <w:left w:val="nil"/>
              <w:bottom w:val="single" w:sz="4" w:space="0" w:color="auto"/>
              <w:right w:val="nil"/>
            </w:tcBorders>
          </w:tcPr>
          <w:p w:rsidR="002F7AEF" w:rsidRPr="002570A6" w:rsidRDefault="002F7AEF" w:rsidP="005C7AB7">
            <w:pPr>
              <w:pStyle w:val="Bezatstarpm"/>
              <w:rPr>
                <w:lang w:val="lv-LV"/>
              </w:rPr>
            </w:pPr>
          </w:p>
        </w:tc>
        <w:tc>
          <w:tcPr>
            <w:tcW w:w="566" w:type="dxa"/>
          </w:tcPr>
          <w:p w:rsidR="002F7AEF" w:rsidRPr="002570A6" w:rsidRDefault="002F7AEF" w:rsidP="005C7AB7">
            <w:pPr>
              <w:pStyle w:val="Bezatstarpm"/>
              <w:rPr>
                <w:lang w:val="lv-LV"/>
              </w:rPr>
            </w:pPr>
            <w:r w:rsidRPr="002570A6">
              <w:rPr>
                <w:lang w:val="lv-LV"/>
              </w:rPr>
              <w:t xml:space="preserve"> Nr.</w:t>
            </w:r>
          </w:p>
        </w:tc>
        <w:tc>
          <w:tcPr>
            <w:tcW w:w="2836" w:type="dxa"/>
            <w:tcBorders>
              <w:top w:val="nil"/>
              <w:left w:val="nil"/>
              <w:bottom w:val="single" w:sz="4" w:space="0" w:color="auto"/>
              <w:right w:val="nil"/>
            </w:tcBorders>
          </w:tcPr>
          <w:p w:rsidR="002F7AEF" w:rsidRPr="002570A6" w:rsidRDefault="002F7AEF" w:rsidP="005C7AB7">
            <w:pPr>
              <w:pStyle w:val="Bezatstarpm"/>
              <w:rPr>
                <w:lang w:val="lv-LV"/>
              </w:rPr>
            </w:pPr>
          </w:p>
        </w:tc>
      </w:tr>
    </w:tbl>
    <w:p w:rsidR="002F7AEF" w:rsidRPr="002570A6" w:rsidRDefault="002F7AEF" w:rsidP="00A64F60">
      <w:pPr>
        <w:ind w:firstLine="0"/>
        <w:rPr>
          <w:lang w:val="lv-LV"/>
        </w:rPr>
      </w:pPr>
    </w:p>
    <w:p w:rsidR="002F7AEF" w:rsidRDefault="002F7AEF" w:rsidP="002665C9">
      <w:pPr>
        <w:jc w:val="right"/>
        <w:rPr>
          <w:b/>
          <w:szCs w:val="24"/>
          <w:lang w:val="lv-LV"/>
        </w:rPr>
      </w:pPr>
    </w:p>
    <w:p w:rsidR="002F7AEF" w:rsidRPr="002570A6" w:rsidRDefault="002F7AEF" w:rsidP="002665C9">
      <w:pPr>
        <w:jc w:val="right"/>
        <w:rPr>
          <w:b/>
          <w:szCs w:val="24"/>
          <w:lang w:val="lv-LV"/>
        </w:rPr>
      </w:pPr>
      <w:r w:rsidRPr="002570A6">
        <w:rPr>
          <w:b/>
          <w:szCs w:val="24"/>
          <w:lang w:val="lv-LV"/>
        </w:rPr>
        <w:t>Biedrība</w:t>
      </w:r>
      <w:r>
        <w:rPr>
          <w:b/>
          <w:szCs w:val="24"/>
          <w:lang w:val="lv-LV"/>
        </w:rPr>
        <w:t>i</w:t>
      </w:r>
      <w:r w:rsidRPr="002570A6">
        <w:rPr>
          <w:b/>
          <w:szCs w:val="24"/>
          <w:lang w:val="lv-LV"/>
        </w:rPr>
        <w:t xml:space="preserve"> “Latvijas Pašvaldību savienība”</w:t>
      </w:r>
    </w:p>
    <w:p w:rsidR="002F7AEF" w:rsidRPr="002570A6" w:rsidRDefault="002F7AEF" w:rsidP="002665C9">
      <w:pPr>
        <w:jc w:val="right"/>
        <w:rPr>
          <w:b/>
          <w:szCs w:val="24"/>
          <w:lang w:val="lv-LV"/>
        </w:rPr>
      </w:pPr>
      <w:r w:rsidRPr="002570A6">
        <w:rPr>
          <w:b/>
          <w:szCs w:val="24"/>
          <w:lang w:val="lv-LV"/>
        </w:rPr>
        <w:t>Liepājas pilsētas domei</w:t>
      </w:r>
    </w:p>
    <w:p w:rsidR="002F7AEF" w:rsidRPr="002570A6" w:rsidRDefault="002F7AEF" w:rsidP="002665C9">
      <w:pPr>
        <w:jc w:val="right"/>
        <w:rPr>
          <w:b/>
          <w:szCs w:val="24"/>
          <w:lang w:val="lv-LV"/>
        </w:rPr>
      </w:pPr>
      <w:r w:rsidRPr="002570A6">
        <w:rPr>
          <w:b/>
          <w:szCs w:val="24"/>
          <w:lang w:val="lv-LV"/>
        </w:rPr>
        <w:t>Nīcas novada domei</w:t>
      </w:r>
    </w:p>
    <w:p w:rsidR="002F7AEF" w:rsidRDefault="002F7AEF" w:rsidP="002665C9">
      <w:pPr>
        <w:jc w:val="right"/>
        <w:rPr>
          <w:b/>
          <w:szCs w:val="24"/>
          <w:lang w:val="lv-LV"/>
        </w:rPr>
      </w:pPr>
      <w:r w:rsidRPr="002570A6">
        <w:rPr>
          <w:b/>
          <w:szCs w:val="24"/>
          <w:lang w:val="lv-LV"/>
        </w:rPr>
        <w:t>Rucavas novada domei</w:t>
      </w:r>
    </w:p>
    <w:p w:rsidR="002F7AEF" w:rsidRDefault="002F7AEF" w:rsidP="002665C9">
      <w:pPr>
        <w:jc w:val="right"/>
        <w:rPr>
          <w:b/>
          <w:szCs w:val="24"/>
          <w:lang w:val="lv-LV"/>
        </w:rPr>
      </w:pPr>
    </w:p>
    <w:p w:rsidR="002F7AEF" w:rsidRPr="002570A6" w:rsidRDefault="002F7AEF" w:rsidP="002665C9">
      <w:pPr>
        <w:jc w:val="right"/>
        <w:rPr>
          <w:b/>
          <w:szCs w:val="24"/>
          <w:lang w:val="lv-LV"/>
        </w:rPr>
      </w:pPr>
      <w:r>
        <w:rPr>
          <w:b/>
          <w:szCs w:val="24"/>
          <w:lang w:val="lv-LV"/>
        </w:rPr>
        <w:t>Valsts vides dienestam</w:t>
      </w:r>
    </w:p>
    <w:p w:rsidR="002F7AEF" w:rsidRPr="002570A6" w:rsidRDefault="002F7AEF" w:rsidP="002665C9">
      <w:pPr>
        <w:rPr>
          <w:b/>
          <w:szCs w:val="24"/>
          <w:lang w:val="lv-LV"/>
        </w:rPr>
      </w:pPr>
    </w:p>
    <w:p w:rsidR="002F7AEF" w:rsidRPr="002570A6" w:rsidRDefault="002F7AEF" w:rsidP="002665C9">
      <w:pPr>
        <w:rPr>
          <w:b/>
          <w:szCs w:val="24"/>
          <w:lang w:val="lv-LV"/>
        </w:rPr>
      </w:pPr>
    </w:p>
    <w:p w:rsidR="002F7AEF" w:rsidRPr="002570A6" w:rsidRDefault="002F7AEF" w:rsidP="00127E8E">
      <w:pPr>
        <w:ind w:firstLine="0"/>
        <w:rPr>
          <w:b/>
          <w:szCs w:val="24"/>
          <w:lang w:val="lv-LV"/>
        </w:rPr>
      </w:pPr>
      <w:r w:rsidRPr="002570A6">
        <w:rPr>
          <w:b/>
          <w:szCs w:val="24"/>
          <w:lang w:val="lv-LV"/>
        </w:rPr>
        <w:t>Skaidrojumi par mencas zvejas lieguma īstenošanu</w:t>
      </w:r>
    </w:p>
    <w:p w:rsidR="002F7AEF" w:rsidRPr="002570A6" w:rsidRDefault="002F7AEF" w:rsidP="00127E8E">
      <w:pPr>
        <w:ind w:firstLine="0"/>
        <w:rPr>
          <w:b/>
          <w:szCs w:val="24"/>
          <w:lang w:val="lv-LV"/>
        </w:rPr>
      </w:pPr>
      <w:r w:rsidRPr="002570A6">
        <w:rPr>
          <w:b/>
          <w:szCs w:val="24"/>
          <w:lang w:val="lv-LV"/>
        </w:rPr>
        <w:t>Baltijas jūras 24. - 26.apakšrajonā</w:t>
      </w:r>
    </w:p>
    <w:p w:rsidR="002F7AEF" w:rsidRPr="002570A6" w:rsidRDefault="002F7AEF" w:rsidP="002665C9">
      <w:pPr>
        <w:rPr>
          <w:szCs w:val="24"/>
          <w:lang w:val="lv-LV"/>
        </w:rPr>
      </w:pPr>
    </w:p>
    <w:p w:rsidR="002F7AEF" w:rsidRPr="002570A6" w:rsidRDefault="002F7AEF" w:rsidP="002665C9">
      <w:pPr>
        <w:rPr>
          <w:szCs w:val="24"/>
          <w:lang w:val="lv-LV"/>
        </w:rPr>
      </w:pPr>
      <w:r w:rsidRPr="002570A6">
        <w:rPr>
          <w:szCs w:val="24"/>
          <w:lang w:val="lv-LV"/>
        </w:rPr>
        <w:t>Zemkopības ministrija (turpmāk – ministrija) informē, ka š.g. 22.jūlijā Eiropas Komisija pieņēma Komisijas īstenošanas regulu (ES) 2019/1248, ar ko nosaka pasākumus ar mērķi samazināt nopietnu apdraudējumu mencas (</w:t>
      </w:r>
      <w:r w:rsidRPr="002570A6">
        <w:rPr>
          <w:i/>
          <w:iCs/>
          <w:szCs w:val="24"/>
          <w:lang w:val="lv-LV"/>
        </w:rPr>
        <w:t>Gadus morhua</w:t>
      </w:r>
      <w:r w:rsidRPr="002570A6">
        <w:rPr>
          <w:szCs w:val="24"/>
          <w:lang w:val="lv-LV"/>
        </w:rPr>
        <w:t xml:space="preserve">) Baltijas jūras austrumdaļas krājuma saglabāšanai (turpmāk – regula). Regula stājās spēkā š.g. 24.jūlijā un tā darbojas </w:t>
      </w:r>
      <w:r w:rsidRPr="002570A6">
        <w:rPr>
          <w:b/>
          <w:szCs w:val="24"/>
          <w:lang w:val="lv-LV"/>
        </w:rPr>
        <w:t>līdz š.g. 31.decembrim</w:t>
      </w:r>
      <w:r w:rsidRPr="002570A6">
        <w:rPr>
          <w:szCs w:val="24"/>
          <w:lang w:val="lv-LV"/>
        </w:rPr>
        <w:t>.</w:t>
      </w:r>
    </w:p>
    <w:p w:rsidR="002F7AEF" w:rsidRDefault="002F7AEF" w:rsidP="002665C9">
      <w:pPr>
        <w:rPr>
          <w:szCs w:val="24"/>
          <w:lang w:val="lv-LV"/>
        </w:rPr>
      </w:pPr>
      <w:r w:rsidRPr="002570A6">
        <w:rPr>
          <w:szCs w:val="24"/>
          <w:lang w:val="lv-LV"/>
        </w:rPr>
        <w:t xml:space="preserve">Regulā paredzēta specializētas mencu zvejas slēgšana Baltijas jūras 24.-26. apakšrajonā ar atsevišķiem izņēmumiem attiecībā uz piekrastes zveju. Daļa Latvijas piekrastes ūdeņu ietilpst Baltijas jūras 26.apakšrajonā (Nīcas un Rucavas pagastam, kā arī daļai no Liepājas pilsētas pieguļošie ūdeņi). Tālākā informācija attiecas uz zvejas lieguma izņēmumiem, kas skar šos ūdeņus. </w:t>
      </w:r>
    </w:p>
    <w:p w:rsidR="002F7AEF" w:rsidRDefault="002F7AEF" w:rsidP="002665C9">
      <w:pPr>
        <w:rPr>
          <w:szCs w:val="24"/>
          <w:lang w:val="lv-LV"/>
        </w:rPr>
      </w:pPr>
      <w:r w:rsidRPr="002570A6">
        <w:rPr>
          <w:szCs w:val="24"/>
          <w:lang w:val="lv-LV"/>
        </w:rPr>
        <w:t>Uz Ziemeļiem no Liepājas pilsētas Baltijas jūrai pieguļošo pārējo Latvijas pašvaldību piekrastes ūdeņos mencu zveja ar regulu netiek ierobežota. Tāpat ar regulu Baltijas jūras 26.apakšrajonā un citos Latvijas piekrastes ūdeņos netiek ierobežota atpūtas zveja (makšķerēšana un pašpatēriņa zveja) kurā var tikt iegūta menca. Šajā gadījumā mencu ieguves nosacījumus regulē attiecīgie Latvijas normatīvie akti.</w:t>
      </w:r>
    </w:p>
    <w:p w:rsidR="002F7AEF" w:rsidRPr="002570A6" w:rsidRDefault="002F7AEF" w:rsidP="002665C9">
      <w:pPr>
        <w:rPr>
          <w:szCs w:val="24"/>
          <w:lang w:val="lv-LV"/>
        </w:rPr>
      </w:pPr>
    </w:p>
    <w:p w:rsidR="002F7AEF" w:rsidRPr="00F60A0D" w:rsidRDefault="002F7AEF" w:rsidP="00F60A0D">
      <w:pPr>
        <w:ind w:left="360" w:firstLine="0"/>
        <w:rPr>
          <w:b/>
          <w:bCs/>
          <w:szCs w:val="24"/>
        </w:rPr>
      </w:pPr>
      <w:r w:rsidRPr="00F60A0D">
        <w:rPr>
          <w:b/>
          <w:bCs/>
          <w:szCs w:val="24"/>
        </w:rPr>
        <w:t>Regulā pieļaujamā mencu piezveja</w:t>
      </w:r>
    </w:p>
    <w:p w:rsidR="002F7AEF" w:rsidRPr="002570A6" w:rsidRDefault="002F7AEF" w:rsidP="002665C9">
      <w:pPr>
        <w:rPr>
          <w:szCs w:val="24"/>
          <w:lang w:val="lv-LV"/>
        </w:rPr>
      </w:pPr>
      <w:r w:rsidRPr="002570A6">
        <w:rPr>
          <w:bCs/>
          <w:szCs w:val="24"/>
          <w:lang w:val="lv-LV"/>
        </w:rPr>
        <w:t xml:space="preserve">Regulas 2.panta 4.punkts paredz izņēmumus, kuri pieļauj </w:t>
      </w:r>
      <w:r w:rsidRPr="002570A6">
        <w:rPr>
          <w:b/>
          <w:bCs/>
          <w:szCs w:val="24"/>
          <w:lang w:val="lv-LV"/>
        </w:rPr>
        <w:t xml:space="preserve"> mencu piezveju</w:t>
      </w:r>
      <w:r w:rsidRPr="002570A6">
        <w:rPr>
          <w:szCs w:val="24"/>
          <w:lang w:val="lv-LV"/>
        </w:rPr>
        <w:t>:</w:t>
      </w:r>
    </w:p>
    <w:p w:rsidR="002F7AEF" w:rsidRPr="002570A6" w:rsidRDefault="002F7AEF" w:rsidP="002665C9">
      <w:pPr>
        <w:rPr>
          <w:szCs w:val="24"/>
          <w:lang w:val="lv-LV"/>
        </w:rPr>
      </w:pPr>
      <w:r w:rsidRPr="002570A6">
        <w:rPr>
          <w:szCs w:val="24"/>
          <w:lang w:val="lv-LV"/>
        </w:rPr>
        <w:t xml:space="preserve">a) </w:t>
      </w:r>
      <w:r w:rsidRPr="002570A6">
        <w:rPr>
          <w:b/>
          <w:szCs w:val="24"/>
          <w:lang w:val="lv-LV"/>
        </w:rPr>
        <w:t>Zvejas kuģiem (neatkarīgi no to izmērā), kas ar traļiem, dāņu vadiem</w:t>
      </w:r>
      <w:r w:rsidRPr="002570A6">
        <w:rPr>
          <w:szCs w:val="24"/>
          <w:lang w:val="lv-LV"/>
        </w:rPr>
        <w:t xml:space="preserve"> vai tiem līdzīgiem zvejas rīkiem, </w:t>
      </w:r>
      <w:r w:rsidRPr="002570A6">
        <w:rPr>
          <w:b/>
          <w:szCs w:val="24"/>
          <w:lang w:val="lv-LV"/>
        </w:rPr>
        <w:t>kuru linuma acs izmērs nepārsniedz 45 mm, zvejo</w:t>
      </w:r>
      <w:r w:rsidRPr="002570A6">
        <w:rPr>
          <w:szCs w:val="24"/>
          <w:lang w:val="lv-LV"/>
        </w:rPr>
        <w:t xml:space="preserve"> 24., 25. un </w:t>
      </w:r>
      <w:r w:rsidRPr="002570A6">
        <w:rPr>
          <w:b/>
          <w:szCs w:val="24"/>
          <w:lang w:val="lv-LV"/>
        </w:rPr>
        <w:t>26. apakšrajonā</w:t>
      </w:r>
      <w:r w:rsidRPr="002570A6">
        <w:rPr>
          <w:szCs w:val="24"/>
          <w:lang w:val="lv-LV"/>
        </w:rPr>
        <w:t>; vai</w:t>
      </w:r>
    </w:p>
    <w:p w:rsidR="002F7AEF" w:rsidRPr="002570A6" w:rsidRDefault="002F7AEF" w:rsidP="002665C9">
      <w:pPr>
        <w:rPr>
          <w:szCs w:val="24"/>
          <w:lang w:val="lv-LV"/>
        </w:rPr>
      </w:pPr>
      <w:r w:rsidRPr="002570A6">
        <w:rPr>
          <w:szCs w:val="24"/>
          <w:lang w:val="lv-LV"/>
        </w:rPr>
        <w:t xml:space="preserve">b) </w:t>
      </w:r>
      <w:r w:rsidRPr="002570A6">
        <w:rPr>
          <w:b/>
          <w:szCs w:val="24"/>
          <w:lang w:val="lv-LV"/>
        </w:rPr>
        <w:t xml:space="preserve">zvejas kuģiem, kuru </w:t>
      </w:r>
      <w:r w:rsidRPr="002570A6">
        <w:rPr>
          <w:b/>
          <w:bCs/>
          <w:szCs w:val="24"/>
          <w:lang w:val="lv-LV"/>
        </w:rPr>
        <w:t xml:space="preserve">lielākais garums ir mazāks nekā 12 metri </w:t>
      </w:r>
      <w:r w:rsidRPr="002570A6">
        <w:rPr>
          <w:szCs w:val="24"/>
          <w:lang w:val="lv-LV"/>
        </w:rPr>
        <w:t xml:space="preserve">un kuri ar žaunu tīkliem, iepinējtīkliem vai vairāksienu tīkliem vai ar grunts āķu rindām, āķu jedām (izņemot dreifējošas āķu jedas), rokas āķu rindām un džiga aprīkojumu vai līdzīgiem pasīviem zvejas rīkiem </w:t>
      </w:r>
      <w:r w:rsidRPr="002570A6">
        <w:rPr>
          <w:b/>
          <w:szCs w:val="24"/>
          <w:lang w:val="lv-LV"/>
        </w:rPr>
        <w:t>zvejo</w:t>
      </w:r>
      <w:r w:rsidRPr="002570A6">
        <w:rPr>
          <w:szCs w:val="24"/>
          <w:lang w:val="lv-LV"/>
        </w:rPr>
        <w:t xml:space="preserve"> 25.–</w:t>
      </w:r>
      <w:r w:rsidRPr="002570A6">
        <w:rPr>
          <w:b/>
          <w:szCs w:val="24"/>
          <w:lang w:val="lv-LV"/>
        </w:rPr>
        <w:t>26. apakšrajonā</w:t>
      </w:r>
      <w:r w:rsidRPr="002570A6">
        <w:rPr>
          <w:szCs w:val="24"/>
          <w:lang w:val="lv-LV"/>
        </w:rPr>
        <w:t>.</w:t>
      </w:r>
    </w:p>
    <w:p w:rsidR="002F7AEF" w:rsidRPr="002570A6" w:rsidRDefault="002F7AEF" w:rsidP="002665C9">
      <w:pPr>
        <w:rPr>
          <w:szCs w:val="24"/>
          <w:lang w:val="lv-LV"/>
        </w:rPr>
      </w:pPr>
      <w:r w:rsidRPr="002570A6">
        <w:rPr>
          <w:szCs w:val="24"/>
          <w:lang w:val="lv-LV"/>
        </w:rPr>
        <w:lastRenderedPageBreak/>
        <w:t xml:space="preserve">Ministrija vērš uzmanību ka, atbilstoši Regulas 2.panta 5.un 6.punktam, zvejas kuģiem, kuru lielākais garums ir mazāks nekā 12 metri  un kuriem atļauta mencu piezveja, ir jāatbilst sekojošām prasībām: </w:t>
      </w:r>
    </w:p>
    <w:p w:rsidR="002F7AEF" w:rsidRPr="002570A6" w:rsidRDefault="002F7AEF" w:rsidP="002665C9">
      <w:pPr>
        <w:rPr>
          <w:szCs w:val="24"/>
          <w:lang w:val="lv-LV"/>
        </w:rPr>
      </w:pPr>
      <w:r w:rsidRPr="002570A6">
        <w:rPr>
          <w:szCs w:val="24"/>
          <w:lang w:val="lv-LV"/>
        </w:rPr>
        <w:t xml:space="preserve">a) </w:t>
      </w:r>
      <w:r w:rsidRPr="002570A6">
        <w:rPr>
          <w:b/>
          <w:szCs w:val="24"/>
          <w:lang w:val="lv-LV"/>
        </w:rPr>
        <w:t>Kuģi nodrošina, ka to zvejas darbības var uzraudzīt jebkurā laikā</w:t>
      </w:r>
      <w:r w:rsidRPr="002570A6">
        <w:rPr>
          <w:szCs w:val="24"/>
          <w:lang w:val="lv-LV"/>
        </w:rPr>
        <w:t xml:space="preserve">. Šo kuģu gūtās </w:t>
      </w:r>
      <w:r w:rsidRPr="002570A6">
        <w:rPr>
          <w:b/>
          <w:szCs w:val="24"/>
          <w:lang w:val="lv-LV"/>
        </w:rPr>
        <w:t>mencas nejauša</w:t>
      </w:r>
      <w:r w:rsidRPr="002570A6">
        <w:rPr>
          <w:szCs w:val="24"/>
          <w:lang w:val="lv-LV"/>
        </w:rPr>
        <w:t xml:space="preserve"> </w:t>
      </w:r>
      <w:r w:rsidRPr="002570A6">
        <w:rPr>
          <w:b/>
          <w:szCs w:val="24"/>
          <w:lang w:val="lv-LV"/>
        </w:rPr>
        <w:t>piezveja neveido vairāk kā 10 %</w:t>
      </w:r>
      <w:r w:rsidRPr="002570A6">
        <w:rPr>
          <w:szCs w:val="24"/>
          <w:lang w:val="lv-LV"/>
        </w:rPr>
        <w:t xml:space="preserve"> no visu jūras bioloģisko resursu kopējās nozvejas (dzīvsvars), ko izkrauj </w:t>
      </w:r>
      <w:r w:rsidRPr="002570A6">
        <w:rPr>
          <w:b/>
          <w:szCs w:val="24"/>
          <w:lang w:val="lv-LV"/>
        </w:rPr>
        <w:t>pēc katra zvejas reisa</w:t>
      </w:r>
      <w:r w:rsidRPr="002570A6">
        <w:rPr>
          <w:szCs w:val="24"/>
          <w:lang w:val="lv-LV"/>
        </w:rPr>
        <w:t>;</w:t>
      </w:r>
    </w:p>
    <w:p w:rsidR="002F7AEF" w:rsidRDefault="002F7AEF" w:rsidP="002665C9">
      <w:pPr>
        <w:rPr>
          <w:b/>
          <w:szCs w:val="24"/>
          <w:lang w:val="lv-LV"/>
        </w:rPr>
      </w:pPr>
      <w:r w:rsidRPr="002570A6">
        <w:rPr>
          <w:szCs w:val="24"/>
          <w:lang w:val="lv-LV"/>
        </w:rPr>
        <w:t xml:space="preserve">b) Atkāpe </w:t>
      </w:r>
      <w:r w:rsidRPr="002570A6">
        <w:rPr>
          <w:b/>
          <w:szCs w:val="24"/>
          <w:lang w:val="lv-LV"/>
        </w:rPr>
        <w:t>attiecas tikai uz tiem  zvejas kuģiem, kuri</w:t>
      </w:r>
      <w:r w:rsidRPr="002570A6">
        <w:rPr>
          <w:szCs w:val="24"/>
          <w:lang w:val="lv-LV"/>
        </w:rPr>
        <w:t xml:space="preserve"> laikposmā no 2018. gada 1. janvāra līdz 2019. gada 30. jūnijam </w:t>
      </w:r>
      <w:r w:rsidRPr="002570A6">
        <w:rPr>
          <w:b/>
          <w:szCs w:val="24"/>
          <w:lang w:val="lv-LV"/>
        </w:rPr>
        <w:t>ir reģistrējuši mencas nozvejas. </w:t>
      </w:r>
    </w:p>
    <w:p w:rsidR="002F7AEF" w:rsidRPr="002570A6" w:rsidRDefault="002F7AEF" w:rsidP="002665C9">
      <w:pPr>
        <w:rPr>
          <w:b/>
          <w:szCs w:val="24"/>
          <w:lang w:val="lv-LV"/>
        </w:rPr>
      </w:pPr>
    </w:p>
    <w:p w:rsidR="002F7AEF" w:rsidRDefault="002F7AEF" w:rsidP="002665C9">
      <w:pPr>
        <w:rPr>
          <w:szCs w:val="24"/>
          <w:lang w:val="lv-LV"/>
        </w:rPr>
      </w:pPr>
      <w:r w:rsidRPr="002570A6">
        <w:rPr>
          <w:szCs w:val="24"/>
          <w:lang w:val="lv-LV"/>
        </w:rPr>
        <w:t>Lai nodrošinātu Regulas prasību izpildi, ņemot vērā Eiropas Komisijas pārstāvju ministrijai sniegtos skaidrojumus un Valsts vides dienesta atbildīgo amatpersonu viedokli saistībā ar zvejas kontroles nodrošināšanu, ministrija informē par sekojošo:</w:t>
      </w:r>
    </w:p>
    <w:p w:rsidR="002F7AEF" w:rsidRDefault="002F7AEF" w:rsidP="002665C9">
      <w:pPr>
        <w:rPr>
          <w:szCs w:val="24"/>
          <w:lang w:val="lv-LV"/>
        </w:rPr>
      </w:pPr>
    </w:p>
    <w:p w:rsidR="002F7AEF" w:rsidRPr="002570A6" w:rsidRDefault="002F7AEF" w:rsidP="002665C9">
      <w:pPr>
        <w:rPr>
          <w:szCs w:val="24"/>
          <w:lang w:val="lv-LV"/>
        </w:rPr>
      </w:pPr>
      <w:r>
        <w:rPr>
          <w:b/>
          <w:szCs w:val="24"/>
          <w:lang w:val="lv-LV"/>
        </w:rPr>
        <w:t>1</w:t>
      </w:r>
      <w:r w:rsidRPr="002570A6">
        <w:rPr>
          <w:b/>
          <w:szCs w:val="24"/>
          <w:lang w:val="lv-LV"/>
        </w:rPr>
        <w:t>. Skaidrojums par atļauto  10 % mencu piezveju</w:t>
      </w:r>
      <w:r w:rsidRPr="002570A6">
        <w:rPr>
          <w:szCs w:val="24"/>
          <w:lang w:val="lv-LV"/>
        </w:rPr>
        <w:t>.</w:t>
      </w:r>
    </w:p>
    <w:p w:rsidR="002F7AEF" w:rsidRPr="002570A6" w:rsidRDefault="002F7AEF" w:rsidP="002665C9">
      <w:pPr>
        <w:rPr>
          <w:szCs w:val="24"/>
          <w:lang w:val="lv-LV"/>
        </w:rPr>
      </w:pPr>
      <w:r w:rsidRPr="002570A6">
        <w:rPr>
          <w:szCs w:val="24"/>
          <w:lang w:val="lv-LV"/>
        </w:rPr>
        <w:t xml:space="preserve">Ministrija skaidro, ka piekrastes zvejniekiem piezvejā ir atļauts paturēt mencas tikai tad, ja laikposmā no 2018. gada 1. janvāra līdz 2019. gada 30. jūnijam tie ir reģistrējuši mencas nozvejas. Pretējā gadījumā mencu piezveja nav atļauta. </w:t>
      </w:r>
    </w:p>
    <w:p w:rsidR="002F7AEF" w:rsidRPr="002570A6" w:rsidRDefault="002F7AEF" w:rsidP="002665C9">
      <w:pPr>
        <w:spacing w:line="276" w:lineRule="auto"/>
        <w:rPr>
          <w:szCs w:val="24"/>
          <w:lang w:val="lv-LV"/>
        </w:rPr>
      </w:pPr>
      <w:r w:rsidRPr="002570A6">
        <w:rPr>
          <w:szCs w:val="24"/>
          <w:lang w:val="lv-LV"/>
        </w:rPr>
        <w:t xml:space="preserve">Gadījumā, </w:t>
      </w:r>
      <w:r w:rsidRPr="002570A6">
        <w:rPr>
          <w:b/>
          <w:szCs w:val="24"/>
          <w:lang w:val="lv-LV"/>
        </w:rPr>
        <w:t>ja mencas piezveja pārsniedz 10%</w:t>
      </w:r>
      <w:r>
        <w:rPr>
          <w:b/>
          <w:szCs w:val="24"/>
          <w:lang w:val="lv-LV"/>
        </w:rPr>
        <w:t xml:space="preserve"> vai to vispār nav atļauts paturēt</w:t>
      </w:r>
      <w:r w:rsidRPr="002570A6">
        <w:rPr>
          <w:b/>
          <w:szCs w:val="24"/>
          <w:lang w:val="lv-LV"/>
        </w:rPr>
        <w:t>, tad jebkurš mencu daudzums virs šī robežlīmeņa ir atlaižams atpakaļ jūrā</w:t>
      </w:r>
      <w:r w:rsidRPr="002570A6">
        <w:rPr>
          <w:szCs w:val="24"/>
          <w:lang w:val="lv-LV"/>
        </w:rPr>
        <w:t xml:space="preserve">, jo uz šo mencu neattieksies obligātā izkraušanas pienākuma prasība. Kopējās zivsaimniecības politikas regulas 15.panta 4.daļas a) punkts noteic, ka </w:t>
      </w:r>
      <w:r w:rsidRPr="002570A6">
        <w:rPr>
          <w:szCs w:val="24"/>
          <w:shd w:val="clear" w:color="auto" w:fill="FFFFFF"/>
          <w:lang w:val="lv-LV"/>
        </w:rPr>
        <w:t xml:space="preserve">nozvejas izkraušanas pienākumu nepiemēro sugām, kuru zveja ir aizliegta.  Ar regulu </w:t>
      </w:r>
      <w:r w:rsidRPr="002570A6">
        <w:rPr>
          <w:szCs w:val="24"/>
          <w:lang w:val="lv-LV"/>
        </w:rPr>
        <w:t>noteiktie mencu krājumu aizsardzības ārkārtas pasākumi iedarbina šo izņēmumu.</w:t>
      </w:r>
    </w:p>
    <w:p w:rsidR="002F7AEF" w:rsidRDefault="002F7AEF" w:rsidP="002665C9">
      <w:pPr>
        <w:spacing w:line="276" w:lineRule="auto"/>
        <w:rPr>
          <w:b/>
          <w:szCs w:val="24"/>
          <w:lang w:val="lv-LV"/>
        </w:rPr>
      </w:pPr>
      <w:r w:rsidRPr="002570A6">
        <w:rPr>
          <w:szCs w:val="24"/>
          <w:lang w:val="lv-LV"/>
        </w:rPr>
        <w:t xml:space="preserve">Ministrija </w:t>
      </w:r>
      <w:r>
        <w:rPr>
          <w:szCs w:val="24"/>
          <w:lang w:val="lv-LV"/>
        </w:rPr>
        <w:t>vēlreiz uzsver</w:t>
      </w:r>
      <w:r w:rsidRPr="002570A6">
        <w:rPr>
          <w:szCs w:val="24"/>
          <w:lang w:val="lv-LV"/>
        </w:rPr>
        <w:t>, ka</w:t>
      </w:r>
      <w:r w:rsidRPr="002570A6">
        <w:rPr>
          <w:b/>
          <w:szCs w:val="24"/>
          <w:lang w:val="lv-LV"/>
        </w:rPr>
        <w:t xml:space="preserve"> izņēmumi </w:t>
      </w:r>
      <w:r>
        <w:rPr>
          <w:b/>
          <w:szCs w:val="24"/>
          <w:lang w:val="lv-LV"/>
        </w:rPr>
        <w:t>par</w:t>
      </w:r>
      <w:r w:rsidRPr="002570A6">
        <w:rPr>
          <w:b/>
          <w:szCs w:val="24"/>
          <w:lang w:val="lv-LV"/>
        </w:rPr>
        <w:t xml:space="preserve"> atļauto 10 % mencas piezveju attiecas tikai uz tiem zvejniekiem, kuri atbilst Regulas nosacījumiem par iepriekš (2018. un 2019.gadā) reģistrētām mencu nozvejām, kā arī ievēro šī skaidrojuma 2.punktā noteikto zvejas darbību ziņošanas kārtību. Savukārt</w:t>
      </w:r>
      <w:r w:rsidRPr="002570A6">
        <w:rPr>
          <w:b/>
          <w:color w:val="FF0000"/>
          <w:szCs w:val="24"/>
          <w:lang w:val="lv-LV"/>
        </w:rPr>
        <w:t xml:space="preserve"> </w:t>
      </w:r>
      <w:r w:rsidRPr="002570A6">
        <w:rPr>
          <w:b/>
          <w:szCs w:val="24"/>
          <w:lang w:val="lv-LV"/>
        </w:rPr>
        <w:t>zvejnieki, kuriem 2018.-2019.gadā nav reģistrētas  mencas nozvejas, mencas piezveja nav atļauta.</w:t>
      </w:r>
    </w:p>
    <w:p w:rsidR="002F7AEF" w:rsidRPr="002570A6" w:rsidRDefault="002F7AEF" w:rsidP="002665C9">
      <w:pPr>
        <w:spacing w:line="276" w:lineRule="auto"/>
        <w:rPr>
          <w:b/>
          <w:szCs w:val="24"/>
          <w:lang w:val="lv-LV"/>
        </w:rPr>
      </w:pPr>
    </w:p>
    <w:p w:rsidR="002F7AEF" w:rsidRPr="002570A6" w:rsidRDefault="002F7AEF" w:rsidP="002665C9">
      <w:pPr>
        <w:rPr>
          <w:szCs w:val="24"/>
          <w:lang w:val="lv-LV"/>
        </w:rPr>
      </w:pPr>
      <w:r>
        <w:rPr>
          <w:b/>
          <w:szCs w:val="24"/>
          <w:lang w:val="lv-LV"/>
        </w:rPr>
        <w:t>2</w:t>
      </w:r>
      <w:r w:rsidRPr="002570A6">
        <w:rPr>
          <w:b/>
          <w:szCs w:val="24"/>
          <w:lang w:val="lv-LV"/>
        </w:rPr>
        <w:t>. Skaidrojums par Regulas prasību par kuģu zvejas darbību uzraudzību</w:t>
      </w:r>
      <w:r w:rsidRPr="002570A6">
        <w:rPr>
          <w:szCs w:val="24"/>
          <w:lang w:val="lv-LV"/>
        </w:rPr>
        <w:t xml:space="preserve"> </w:t>
      </w:r>
      <w:r w:rsidRPr="002570A6">
        <w:rPr>
          <w:b/>
          <w:szCs w:val="24"/>
          <w:lang w:val="lv-LV"/>
        </w:rPr>
        <w:t>jebkurā laikā.</w:t>
      </w:r>
      <w:r w:rsidRPr="002570A6">
        <w:rPr>
          <w:szCs w:val="24"/>
          <w:lang w:val="lv-LV"/>
        </w:rPr>
        <w:t xml:space="preserve"> </w:t>
      </w:r>
    </w:p>
    <w:p w:rsidR="002F7AEF" w:rsidRPr="002570A6" w:rsidRDefault="002F7AEF" w:rsidP="002665C9">
      <w:pPr>
        <w:rPr>
          <w:szCs w:val="24"/>
          <w:lang w:val="lv-LV"/>
        </w:rPr>
      </w:pPr>
      <w:r w:rsidRPr="002570A6">
        <w:rPr>
          <w:b/>
          <w:szCs w:val="24"/>
          <w:lang w:val="lv-LV"/>
        </w:rPr>
        <w:t>Piekrastes zvejnieki, kuri zvejo 26.apakšrajonā un kuriem laikposmā no 2018. gada 1. janvāra līdz 2019. gada 30. jūnijam ir reģistrētas mencas nozvejas</w:t>
      </w:r>
      <w:r w:rsidRPr="002570A6">
        <w:rPr>
          <w:szCs w:val="24"/>
          <w:lang w:val="lv-LV"/>
        </w:rPr>
        <w:t xml:space="preserve">, izmanto mobilos (sms) saziņas līdzekļus, lai Valsts vides dienestam (tālr. </w:t>
      </w:r>
      <w:r w:rsidRPr="002570A6">
        <w:rPr>
          <w:szCs w:val="24"/>
          <w:u w:val="single"/>
          <w:lang w:val="lv-LV"/>
        </w:rPr>
        <w:t>25400661</w:t>
      </w:r>
      <w:r w:rsidRPr="002570A6">
        <w:rPr>
          <w:szCs w:val="24"/>
          <w:lang w:val="lv-LV"/>
        </w:rPr>
        <w:t xml:space="preserve"> un </w:t>
      </w:r>
      <w:r w:rsidRPr="002570A6">
        <w:rPr>
          <w:szCs w:val="24"/>
          <w:u w:val="single"/>
          <w:lang w:val="lv-LV"/>
        </w:rPr>
        <w:t>25660360</w:t>
      </w:r>
      <w:r w:rsidRPr="002570A6">
        <w:rPr>
          <w:szCs w:val="24"/>
          <w:lang w:val="lv-LV"/>
        </w:rPr>
        <w:t>) līdz regulā noteiktā mencu zvejas ierobežojumu termiņa beigām – 2019.gada 31.decembrim nosūtītu šādu informāciju:</w:t>
      </w:r>
    </w:p>
    <w:p w:rsidR="002F7AEF" w:rsidRPr="002570A6" w:rsidRDefault="002F7AEF" w:rsidP="002665C9">
      <w:pPr>
        <w:pStyle w:val="Sarakstarindkopa"/>
        <w:numPr>
          <w:ilvl w:val="0"/>
          <w:numId w:val="12"/>
        </w:numPr>
        <w:jc w:val="both"/>
        <w:rPr>
          <w:rFonts w:ascii="Times New Roman" w:hAnsi="Times New Roman"/>
          <w:sz w:val="24"/>
          <w:szCs w:val="24"/>
        </w:rPr>
      </w:pPr>
      <w:r w:rsidRPr="002570A6">
        <w:rPr>
          <w:rFonts w:ascii="Times New Roman" w:hAnsi="Times New Roman"/>
          <w:sz w:val="24"/>
          <w:szCs w:val="24"/>
        </w:rPr>
        <w:t>Ziņojumu par plānoto iziešanas jūrā laiku un kuģa (laivas) nosaukumu vai reģistrācijas numuru, ar kuru plāno zvejot (ziņojumu nosūta/iesniedz pirms iziešanas jūrā);</w:t>
      </w:r>
    </w:p>
    <w:p w:rsidR="002F7AEF" w:rsidRPr="002570A6" w:rsidRDefault="002F7AEF" w:rsidP="002665C9">
      <w:pPr>
        <w:pStyle w:val="Sarakstarindkopa"/>
        <w:numPr>
          <w:ilvl w:val="0"/>
          <w:numId w:val="12"/>
        </w:numPr>
        <w:jc w:val="both"/>
        <w:rPr>
          <w:rFonts w:ascii="Times New Roman" w:hAnsi="Times New Roman"/>
          <w:sz w:val="24"/>
          <w:szCs w:val="24"/>
        </w:rPr>
      </w:pPr>
      <w:r w:rsidRPr="002570A6">
        <w:rPr>
          <w:rFonts w:ascii="Times New Roman" w:hAnsi="Times New Roman"/>
          <w:sz w:val="24"/>
          <w:szCs w:val="24"/>
        </w:rPr>
        <w:t>Iepriekšējo paziņojumu par paredzamo ienākšanas laiku zivju izkraušanas vietā, sniedzot informāciju atbilstoši Ministru kabineta 2017.gada 2.maija noteikumu Nr. 296 “</w:t>
      </w:r>
      <w:r w:rsidRPr="002570A6">
        <w:rPr>
          <w:rFonts w:ascii="Times New Roman" w:hAnsi="Times New Roman"/>
          <w:bCs/>
          <w:sz w:val="24"/>
          <w:szCs w:val="24"/>
        </w:rPr>
        <w:t>Noteikumi par rūpniecisko zveju teritoriālajos ūdeņos un ekonomiskās zonas ūdeņos</w:t>
      </w:r>
      <w:r w:rsidRPr="002570A6">
        <w:rPr>
          <w:rFonts w:ascii="Times New Roman" w:hAnsi="Times New Roman"/>
          <w:sz w:val="24"/>
          <w:szCs w:val="24"/>
        </w:rPr>
        <w:t>” 5.pielikuma ziņojuma saturam (iesniedz vismaz 2 stundas pirms plānotās izkraušanas uzsākšanas, savukārt, ja zvejas rajons atrodas tuvāk un minēto prasību par iepriekšējā paziņojuma laiku nevar nodrošināt, zvejnieks iepriekšējo paziņojumu iesniedz nekavējoties pēc zvejas darbības pabeigšanas).</w:t>
      </w:r>
    </w:p>
    <w:p w:rsidR="002F7AEF" w:rsidRPr="002570A6" w:rsidRDefault="002F7AEF" w:rsidP="002665C9">
      <w:pPr>
        <w:pStyle w:val="Paraststmeklis"/>
        <w:jc w:val="both"/>
      </w:pPr>
      <w:r w:rsidRPr="002570A6">
        <w:t xml:space="preserve">Ja šīs kuģa zvejas darbību uzraudzības prasības netiek īstenotas, tad regula nepieļauj </w:t>
      </w:r>
      <w:r>
        <w:t>tāda</w:t>
      </w:r>
      <w:r w:rsidRPr="002570A6">
        <w:t xml:space="preserve"> kuģa, kura darbību nevar uzraudzīt jebkurā laikā, zveju 26.apakšrajonā, kurā, kā izņēmums ir atļauta 10 % mencu piezveja.</w:t>
      </w:r>
    </w:p>
    <w:p w:rsidR="002F7AEF" w:rsidRPr="002570A6" w:rsidRDefault="002F7AEF" w:rsidP="002665C9">
      <w:pPr>
        <w:pStyle w:val="Paraststmeklis"/>
        <w:jc w:val="both"/>
      </w:pPr>
      <w:r w:rsidRPr="002570A6">
        <w:lastRenderedPageBreak/>
        <w:t>Regulas Nr. 2019/1248 ar ko nosaka pasākumus ar mērķi samazināt nopietnu apdraudējumu mencas (</w:t>
      </w:r>
      <w:r w:rsidRPr="002570A6">
        <w:rPr>
          <w:rStyle w:val="italic"/>
        </w:rPr>
        <w:t>Gadus morhua</w:t>
      </w:r>
      <w:r w:rsidRPr="002570A6">
        <w:t xml:space="preserve">) Baltijas jūras austrumdaļas krājuma saglabāšanai teksts ir pieejams šeit: </w:t>
      </w:r>
    </w:p>
    <w:p w:rsidR="002F7AEF" w:rsidRPr="002570A6" w:rsidRDefault="009A6E2E" w:rsidP="002665C9">
      <w:pPr>
        <w:pStyle w:val="Paraststmeklis"/>
        <w:jc w:val="both"/>
      </w:pPr>
      <w:hyperlink r:id="rId8" w:history="1">
        <w:r w:rsidR="002F7AEF" w:rsidRPr="002570A6">
          <w:rPr>
            <w:rStyle w:val="Hipersaite"/>
          </w:rPr>
          <w:t>https://eur-lex.europa.eu/legal-content/LV/TXT/?qid=1565604713455&amp;uri=CELEX:32019R1248</w:t>
        </w:r>
      </w:hyperlink>
    </w:p>
    <w:p w:rsidR="002F7AEF" w:rsidRPr="002570A6" w:rsidRDefault="002F7AEF" w:rsidP="002665C9">
      <w:pPr>
        <w:pStyle w:val="Paraststmeklis"/>
        <w:jc w:val="both"/>
      </w:pPr>
      <w:r w:rsidRPr="002570A6">
        <w:t>Jautājumu un neskaidrību gadījumā aicinām sazināties ar:</w:t>
      </w:r>
    </w:p>
    <w:p w:rsidR="002F7AEF" w:rsidRPr="002570A6" w:rsidRDefault="002F7AEF" w:rsidP="002665C9">
      <w:pPr>
        <w:pStyle w:val="Paraststmeklis"/>
        <w:jc w:val="both"/>
      </w:pPr>
      <w:r w:rsidRPr="002570A6">
        <w:t xml:space="preserve">Ministrijas atbildīgo personu </w:t>
      </w:r>
      <w:r w:rsidRPr="002570A6">
        <w:rPr>
          <w:rStyle w:val="Izteiksmgs"/>
        </w:rPr>
        <w:t>Olga Adamenko</w:t>
      </w:r>
      <w:r w:rsidRPr="002570A6">
        <w:t>, tālr. 67095042, e-pasts: olga.adamenko@zm.gov.lv, lai precizētu informāciju par Eiropas Regulas Nr. 2019/1248 prasībām.</w:t>
      </w:r>
    </w:p>
    <w:p w:rsidR="002F7AEF" w:rsidRPr="002570A6" w:rsidRDefault="002F7AEF" w:rsidP="002665C9">
      <w:pPr>
        <w:pStyle w:val="Paraststmeklis"/>
        <w:jc w:val="both"/>
      </w:pPr>
      <w:r w:rsidRPr="002570A6">
        <w:t xml:space="preserve">Valsts vides dienesta Zvejas kontroles departamenta atbildīgo personu </w:t>
      </w:r>
      <w:r w:rsidRPr="002570A6">
        <w:rPr>
          <w:b/>
        </w:rPr>
        <w:t>Miku Veinbergu</w:t>
      </w:r>
      <w:r w:rsidRPr="002570A6">
        <w:t xml:space="preserve"> , tālr. 26169852, e-pasts: miks.veinbergs@vvd.gov.lv, lai precizētu zvejas kontroles jautājumus.</w:t>
      </w:r>
    </w:p>
    <w:p w:rsidR="002F7AEF" w:rsidRPr="002570A6" w:rsidRDefault="002F7AEF" w:rsidP="002665C9">
      <w:pPr>
        <w:pStyle w:val="Paraststmeklis"/>
        <w:jc w:val="both"/>
      </w:pPr>
      <w:r w:rsidRPr="002570A6">
        <w:t>Ministrija aicina izplatīt minēto informāciju attiecīgiem biedrības biedriem, piekrastes zvejniekiem un/vai personām, ar kurām pašvaldībā ir noslēgti rūpnieciskās zvejas tiesību nomas līgumi.</w:t>
      </w:r>
    </w:p>
    <w:p w:rsidR="002F7AEF" w:rsidRPr="002570A6" w:rsidRDefault="002F7AEF" w:rsidP="002665C9">
      <w:pPr>
        <w:rPr>
          <w:szCs w:val="24"/>
          <w:lang w:val="lv-LV"/>
        </w:rPr>
      </w:pPr>
    </w:p>
    <w:p w:rsidR="002F7AEF" w:rsidRDefault="002F7AEF" w:rsidP="002665C9">
      <w:pPr>
        <w:rPr>
          <w:szCs w:val="24"/>
          <w:lang w:val="lv-LV"/>
        </w:rPr>
      </w:pPr>
    </w:p>
    <w:p w:rsidR="002F7AEF" w:rsidRDefault="002F7AEF" w:rsidP="002665C9">
      <w:pPr>
        <w:rPr>
          <w:szCs w:val="24"/>
          <w:lang w:val="lv-LV"/>
        </w:rPr>
      </w:pPr>
    </w:p>
    <w:p w:rsidR="002F7AEF" w:rsidRPr="002570A6" w:rsidRDefault="002F7AEF" w:rsidP="00127E8E">
      <w:pPr>
        <w:ind w:firstLine="0"/>
        <w:rPr>
          <w:szCs w:val="24"/>
          <w:lang w:val="lv-LV"/>
        </w:rPr>
      </w:pPr>
      <w:r w:rsidRPr="002570A6">
        <w:rPr>
          <w:szCs w:val="24"/>
          <w:lang w:val="lv-LV"/>
        </w:rPr>
        <w:t xml:space="preserve">Valsts sekretāra p.i. </w:t>
      </w:r>
      <w:r w:rsidRPr="002570A6">
        <w:rPr>
          <w:szCs w:val="24"/>
          <w:lang w:val="lv-LV"/>
        </w:rPr>
        <w:tab/>
      </w:r>
      <w:r w:rsidRPr="002570A6">
        <w:rPr>
          <w:szCs w:val="24"/>
          <w:lang w:val="lv-LV"/>
        </w:rPr>
        <w:tab/>
      </w:r>
      <w:r w:rsidRPr="002570A6">
        <w:rPr>
          <w:szCs w:val="24"/>
          <w:lang w:val="lv-LV"/>
        </w:rPr>
        <w:tab/>
      </w:r>
      <w:r w:rsidRPr="002570A6">
        <w:rPr>
          <w:szCs w:val="24"/>
          <w:lang w:val="lv-LV"/>
        </w:rPr>
        <w:tab/>
      </w:r>
      <w:r w:rsidRPr="002570A6">
        <w:rPr>
          <w:szCs w:val="24"/>
          <w:lang w:val="lv-LV"/>
        </w:rPr>
        <w:tab/>
      </w:r>
      <w:r w:rsidRPr="002570A6">
        <w:rPr>
          <w:szCs w:val="24"/>
          <w:lang w:val="lv-LV"/>
        </w:rPr>
        <w:tab/>
      </w:r>
      <w:r w:rsidRPr="002570A6">
        <w:rPr>
          <w:szCs w:val="24"/>
          <w:lang w:val="lv-LV"/>
        </w:rPr>
        <w:tab/>
      </w:r>
      <w:r>
        <w:rPr>
          <w:szCs w:val="24"/>
          <w:lang w:val="lv-LV"/>
        </w:rPr>
        <w:tab/>
      </w:r>
      <w:r>
        <w:rPr>
          <w:szCs w:val="24"/>
          <w:lang w:val="lv-LV"/>
        </w:rPr>
        <w:tab/>
      </w:r>
      <w:r>
        <w:rPr>
          <w:szCs w:val="24"/>
          <w:lang w:val="lv-LV"/>
        </w:rPr>
        <w:tab/>
      </w:r>
      <w:r w:rsidRPr="002570A6">
        <w:rPr>
          <w:szCs w:val="24"/>
          <w:lang w:val="lv-LV"/>
        </w:rPr>
        <w:t>J.Šnore</w:t>
      </w:r>
    </w:p>
    <w:p w:rsidR="002F7AEF" w:rsidRPr="002570A6" w:rsidRDefault="002F7AEF" w:rsidP="002665C9">
      <w:pPr>
        <w:rPr>
          <w:szCs w:val="24"/>
          <w:lang w:val="lv-LV"/>
        </w:rPr>
      </w:pPr>
    </w:p>
    <w:p w:rsidR="002F7AEF" w:rsidRPr="002570A6" w:rsidRDefault="002F7AEF" w:rsidP="002665C9">
      <w:pPr>
        <w:rPr>
          <w:szCs w:val="24"/>
          <w:lang w:val="lv-LV"/>
        </w:rPr>
      </w:pPr>
    </w:p>
    <w:p w:rsidR="002F7AEF" w:rsidRPr="002570A6" w:rsidRDefault="002F7AEF" w:rsidP="002665C9">
      <w:pPr>
        <w:rPr>
          <w:szCs w:val="24"/>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Default="002F7AEF" w:rsidP="00127E8E">
      <w:pPr>
        <w:ind w:firstLine="0"/>
        <w:rPr>
          <w:sz w:val="20"/>
          <w:szCs w:val="20"/>
          <w:lang w:val="lv-LV"/>
        </w:rPr>
      </w:pPr>
    </w:p>
    <w:p w:rsidR="002F7AEF" w:rsidRPr="002570A6" w:rsidRDefault="002F7AEF" w:rsidP="00127E8E">
      <w:pPr>
        <w:ind w:firstLine="0"/>
        <w:rPr>
          <w:sz w:val="20"/>
          <w:szCs w:val="20"/>
          <w:lang w:val="lv-LV"/>
        </w:rPr>
      </w:pPr>
      <w:r w:rsidRPr="002570A6">
        <w:rPr>
          <w:sz w:val="20"/>
          <w:szCs w:val="20"/>
          <w:lang w:val="lv-LV"/>
        </w:rPr>
        <w:t>Adamenko, 67095042</w:t>
      </w:r>
    </w:p>
    <w:p w:rsidR="002F7AEF" w:rsidRPr="00127E8E" w:rsidRDefault="002F7AEF" w:rsidP="00127E8E">
      <w:pPr>
        <w:ind w:firstLine="0"/>
        <w:rPr>
          <w:sz w:val="20"/>
          <w:szCs w:val="20"/>
          <w:lang w:val="lv-LV"/>
        </w:rPr>
      </w:pPr>
      <w:r w:rsidRPr="002570A6">
        <w:rPr>
          <w:sz w:val="20"/>
          <w:szCs w:val="20"/>
          <w:lang w:val="lv-LV"/>
        </w:rPr>
        <w:t>olga.adamenko@zm.gov.lv</w:t>
      </w:r>
    </w:p>
    <w:p w:rsidR="002F7AEF" w:rsidRPr="002570A6" w:rsidRDefault="002F7AEF" w:rsidP="00AF43DB">
      <w:pPr>
        <w:rPr>
          <w:lang w:val="lv-LV"/>
        </w:rPr>
      </w:pPr>
    </w:p>
    <w:p w:rsidR="002F7AEF" w:rsidRPr="002570A6" w:rsidRDefault="002F7AEF" w:rsidP="00127E8E">
      <w:pPr>
        <w:ind w:firstLine="0"/>
        <w:rPr>
          <w:lang w:val="lv-LV"/>
        </w:rPr>
      </w:pPr>
    </w:p>
    <w:p w:rsidR="002F7AEF" w:rsidRPr="002570A6" w:rsidRDefault="002F7AEF" w:rsidP="00AF43DB">
      <w:pPr>
        <w:rPr>
          <w:lang w:val="lv-LV"/>
        </w:rPr>
      </w:pPr>
    </w:p>
    <w:p w:rsidR="002F7AEF" w:rsidRPr="002570A6" w:rsidRDefault="002F7AEF" w:rsidP="000353A4">
      <w:pPr>
        <w:framePr w:w="7621" w:h="631" w:hRule="exact" w:hSpace="180" w:wrap="around" w:vAnchor="text" w:hAnchor="page" w:x="2176" w:y="483"/>
        <w:tabs>
          <w:tab w:val="left" w:pos="8789"/>
        </w:tabs>
        <w:ind w:left="142" w:right="579"/>
        <w:jc w:val="center"/>
        <w:rPr>
          <w:sz w:val="20"/>
          <w:lang w:val="lv-LV"/>
        </w:rPr>
      </w:pPr>
      <w:r w:rsidRPr="002570A6">
        <w:rPr>
          <w:sz w:val="20"/>
          <w:lang w:val="lv-LV"/>
        </w:rPr>
        <w:t>ŠIS DOKUMENTS IR PARAKSTĪTS AR DROŠU</w:t>
      </w:r>
    </w:p>
    <w:p w:rsidR="002F7AEF" w:rsidRPr="002570A6" w:rsidRDefault="002F7AEF" w:rsidP="000353A4">
      <w:pPr>
        <w:framePr w:w="7621" w:h="631" w:hRule="exact" w:hSpace="180" w:wrap="around" w:vAnchor="text" w:hAnchor="page" w:x="2176" w:y="483"/>
        <w:tabs>
          <w:tab w:val="left" w:pos="8789"/>
        </w:tabs>
        <w:ind w:left="142" w:right="579"/>
        <w:jc w:val="center"/>
        <w:rPr>
          <w:sz w:val="20"/>
          <w:lang w:val="lv-LV"/>
        </w:rPr>
      </w:pPr>
      <w:r w:rsidRPr="002570A6">
        <w:rPr>
          <w:sz w:val="20"/>
          <w:lang w:val="lv-LV"/>
        </w:rPr>
        <w:t>ELEKTRONISKO PARAKSTU UN SATUR LAIKA ZĪMOGU</w:t>
      </w:r>
    </w:p>
    <w:p w:rsidR="002F7AEF" w:rsidRPr="002570A6" w:rsidRDefault="002F7AEF" w:rsidP="00AF43DB">
      <w:pPr>
        <w:tabs>
          <w:tab w:val="left" w:pos="2910"/>
        </w:tabs>
        <w:rPr>
          <w:lang w:val="lv-LV"/>
        </w:rPr>
      </w:pPr>
      <w:r w:rsidRPr="002570A6">
        <w:rPr>
          <w:lang w:val="lv-LV"/>
        </w:rPr>
        <w:tab/>
      </w:r>
    </w:p>
    <w:sectPr w:rsidR="002F7AEF" w:rsidRPr="002570A6" w:rsidSect="008C66E9">
      <w:headerReference w:type="first" r:id="rId9"/>
      <w:type w:val="continuous"/>
      <w:pgSz w:w="11920" w:h="16840"/>
      <w:pgMar w:top="1134" w:right="851" w:bottom="1134" w:left="1701" w:header="368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2E" w:rsidRDefault="009A6E2E" w:rsidP="00826B8A">
      <w:r>
        <w:separator/>
      </w:r>
    </w:p>
  </w:endnote>
  <w:endnote w:type="continuationSeparator" w:id="0">
    <w:p w:rsidR="009A6E2E" w:rsidRDefault="009A6E2E" w:rsidP="008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etterica Baltic">
    <w:altName w:val="Arial"/>
    <w:charset w:val="BA"/>
    <w:family w:val="swiss"/>
    <w:pitch w:val="variable"/>
    <w:sig w:usb0="A00002EF" w:usb1="00000048"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2E" w:rsidRDefault="009A6E2E" w:rsidP="00826B8A">
      <w:r>
        <w:separator/>
      </w:r>
    </w:p>
  </w:footnote>
  <w:footnote w:type="continuationSeparator" w:id="0">
    <w:p w:rsidR="009A6E2E" w:rsidRDefault="009A6E2E" w:rsidP="0082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EF" w:rsidRPr="00FF0532" w:rsidRDefault="002F7AEF" w:rsidP="00483A7F">
    <w:pPr>
      <w:pStyle w:val="Galvene"/>
      <w:ind w:firstLine="0"/>
      <w:jc w:val="center"/>
      <w:rPr>
        <w:lang w:val="lv-LV"/>
      </w:rPr>
    </w:pPr>
    <w:r w:rsidRPr="00FF0532">
      <w:rPr>
        <w:rFonts w:ascii="Letterica Baltic" w:hAnsi="Letterica Baltic"/>
        <w:sz w:val="18"/>
        <w:lang w:val="lv-LV"/>
      </w:rPr>
      <w:t>Rīgā</w:t>
    </w:r>
    <w:r w:rsidR="00EA2379">
      <w:rPr>
        <w:noProof/>
        <w:lang w:val="lv-LV" w:eastAsia="lv-LV"/>
      </w:rPr>
      <w:drawing>
        <wp:anchor distT="0" distB="0" distL="114300" distR="114300" simplePos="0" relativeHeight="251656704"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r w:rsidR="00EA2379">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1905"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AEF" w:rsidRPr="00FF0532" w:rsidRDefault="002F7AEF" w:rsidP="00483A7F">
                          <w:pPr>
                            <w:spacing w:line="194" w:lineRule="exact"/>
                            <w:ind w:left="23" w:right="-45" w:firstLine="0"/>
                            <w:jc w:val="center"/>
                            <w:rPr>
                              <w:sz w:val="17"/>
                              <w:szCs w:val="17"/>
                              <w:lang w:val="lv-LV"/>
                            </w:rPr>
                          </w:pPr>
                          <w:r w:rsidRPr="00FF0532">
                            <w:rPr>
                              <w:color w:val="231F20"/>
                              <w:sz w:val="17"/>
                              <w:szCs w:val="17"/>
                              <w:lang w:val="lv-LV"/>
                            </w:rPr>
                            <w:t xml:space="preserve">Republikas laukums 2, Rīga, LV-1981, tālr. 67027010, fakss 67027512, e-pasts </w:t>
                          </w:r>
                          <w:r>
                            <w:rPr>
                              <w:color w:val="231F20"/>
                              <w:sz w:val="17"/>
                              <w:szCs w:val="17"/>
                              <w:lang w:val="lv-LV"/>
                            </w:rPr>
                            <w:t>pasts</w:t>
                          </w:r>
                          <w:r w:rsidRPr="00FF0532">
                            <w:rPr>
                              <w:color w:val="231F20"/>
                              <w:sz w:val="17"/>
                              <w:szCs w:val="17"/>
                              <w:lang w:val="lv-LV"/>
                            </w:rPr>
                            <w:t>@zm.gov.lv, www.zm.gov.lv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2F7AEF" w:rsidRPr="00FF0532" w:rsidRDefault="002F7AEF" w:rsidP="00483A7F">
                    <w:pPr>
                      <w:spacing w:line="194" w:lineRule="exact"/>
                      <w:ind w:left="23" w:right="-45" w:firstLine="0"/>
                      <w:jc w:val="center"/>
                      <w:rPr>
                        <w:sz w:val="17"/>
                        <w:szCs w:val="17"/>
                        <w:lang w:val="lv-LV"/>
                      </w:rPr>
                    </w:pPr>
                    <w:r w:rsidRPr="00FF0532">
                      <w:rPr>
                        <w:color w:val="231F20"/>
                        <w:sz w:val="17"/>
                        <w:szCs w:val="17"/>
                        <w:lang w:val="lv-LV"/>
                      </w:rPr>
                      <w:t xml:space="preserve">Republikas laukums 2, Rīga, LV-1981, tālr. 67027010, fakss 67027512, e-pasts </w:t>
                    </w:r>
                    <w:r>
                      <w:rPr>
                        <w:color w:val="231F20"/>
                        <w:sz w:val="17"/>
                        <w:szCs w:val="17"/>
                        <w:lang w:val="lv-LV"/>
                      </w:rPr>
                      <w:t>pasts</w:t>
                    </w:r>
                    <w:r w:rsidRPr="00FF0532">
                      <w:rPr>
                        <w:color w:val="231F20"/>
                        <w:sz w:val="17"/>
                        <w:szCs w:val="17"/>
                        <w:lang w:val="lv-LV"/>
                      </w:rPr>
                      <w:t>@zm.gov.lv, www.zm.gov.lv</w:t>
                    </w:r>
                  </w:p>
                </w:txbxContent>
              </v:textbox>
              <w10:wrap anchorx="page" anchory="page"/>
            </v:shape>
          </w:pict>
        </mc:Fallback>
      </mc:AlternateContent>
    </w:r>
    <w:r w:rsidR="00EA2379">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12065" t="7620" r="10160" b="1016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w 6926"/>
                            <a:gd name="T1" fmla="*/ 0 h 2"/>
                            <a:gd name="T2" fmla="*/ 6926 w 6926"/>
                            <a:gd name="T3" fmla="*/ 0 h 2"/>
                          </a:gdLst>
                          <a:ahLst/>
                          <a:cxnLst>
                            <a:cxn ang="0">
                              <a:pos x="T0" y="T1"/>
                            </a:cxn>
                            <a:cxn ang="0">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BYs2oI&#10;YwMAAOE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D8C87E8"/>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802234AE"/>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890AD62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61E60A3C"/>
    <w:multiLevelType w:val="hybridMultilevel"/>
    <w:tmpl w:val="D8002E5C"/>
    <w:lvl w:ilvl="0" w:tplc="FF88B980">
      <w:start w:val="1"/>
      <w:numFmt w:val="decimal"/>
      <w:lvlText w:val="%1."/>
      <w:lvlJc w:val="left"/>
      <w:pPr>
        <w:ind w:left="720" w:hanging="360"/>
      </w:pPr>
      <w:rPr>
        <w:rFonts w:cs="Times New Roman" w:hint="default"/>
      </w:rPr>
    </w:lvl>
    <w:lvl w:ilvl="1" w:tplc="E912D94E" w:tentative="1">
      <w:start w:val="1"/>
      <w:numFmt w:val="lowerLetter"/>
      <w:lvlText w:val="%2."/>
      <w:lvlJc w:val="left"/>
      <w:pPr>
        <w:ind w:left="1440" w:hanging="360"/>
      </w:pPr>
      <w:rPr>
        <w:rFonts w:cs="Times New Roman"/>
      </w:rPr>
    </w:lvl>
    <w:lvl w:ilvl="2" w:tplc="485085AC" w:tentative="1">
      <w:start w:val="1"/>
      <w:numFmt w:val="lowerRoman"/>
      <w:lvlText w:val="%3."/>
      <w:lvlJc w:val="right"/>
      <w:pPr>
        <w:ind w:left="2160" w:hanging="180"/>
      </w:pPr>
      <w:rPr>
        <w:rFonts w:cs="Times New Roman"/>
      </w:rPr>
    </w:lvl>
    <w:lvl w:ilvl="3" w:tplc="9B045698" w:tentative="1">
      <w:start w:val="1"/>
      <w:numFmt w:val="decimal"/>
      <w:lvlText w:val="%4."/>
      <w:lvlJc w:val="left"/>
      <w:pPr>
        <w:ind w:left="2880" w:hanging="360"/>
      </w:pPr>
      <w:rPr>
        <w:rFonts w:cs="Times New Roman"/>
      </w:rPr>
    </w:lvl>
    <w:lvl w:ilvl="4" w:tplc="6C3CA572" w:tentative="1">
      <w:start w:val="1"/>
      <w:numFmt w:val="lowerLetter"/>
      <w:lvlText w:val="%5."/>
      <w:lvlJc w:val="left"/>
      <w:pPr>
        <w:ind w:left="3600" w:hanging="360"/>
      </w:pPr>
      <w:rPr>
        <w:rFonts w:cs="Times New Roman"/>
      </w:rPr>
    </w:lvl>
    <w:lvl w:ilvl="5" w:tplc="A2481B98" w:tentative="1">
      <w:start w:val="1"/>
      <w:numFmt w:val="lowerRoman"/>
      <w:lvlText w:val="%6."/>
      <w:lvlJc w:val="right"/>
      <w:pPr>
        <w:ind w:left="4320" w:hanging="180"/>
      </w:pPr>
      <w:rPr>
        <w:rFonts w:cs="Times New Roman"/>
      </w:rPr>
    </w:lvl>
    <w:lvl w:ilvl="6" w:tplc="EF123506" w:tentative="1">
      <w:start w:val="1"/>
      <w:numFmt w:val="decimal"/>
      <w:lvlText w:val="%7."/>
      <w:lvlJc w:val="left"/>
      <w:pPr>
        <w:ind w:left="5040" w:hanging="360"/>
      </w:pPr>
      <w:rPr>
        <w:rFonts w:cs="Times New Roman"/>
      </w:rPr>
    </w:lvl>
    <w:lvl w:ilvl="7" w:tplc="85F210C2" w:tentative="1">
      <w:start w:val="1"/>
      <w:numFmt w:val="lowerLetter"/>
      <w:lvlText w:val="%8."/>
      <w:lvlJc w:val="left"/>
      <w:pPr>
        <w:ind w:left="5760" w:hanging="360"/>
      </w:pPr>
      <w:rPr>
        <w:rFonts w:cs="Times New Roman"/>
      </w:rPr>
    </w:lvl>
    <w:lvl w:ilvl="8" w:tplc="51382E12" w:tentative="1">
      <w:start w:val="1"/>
      <w:numFmt w:val="lowerRoman"/>
      <w:lvlText w:val="%9."/>
      <w:lvlJc w:val="right"/>
      <w:pPr>
        <w:ind w:left="6480" w:hanging="180"/>
      </w:pPr>
      <w:rPr>
        <w:rFonts w:cs="Times New Roman"/>
      </w:rPr>
    </w:lvl>
  </w:abstractNum>
  <w:abstractNum w:abstractNumId="12">
    <w:nsid w:val="7BCF0AB2"/>
    <w:multiLevelType w:val="hybridMultilevel"/>
    <w:tmpl w:val="FB30157A"/>
    <w:lvl w:ilvl="0" w:tplc="C722F9CE">
      <w:numFmt w:val="bullet"/>
      <w:lvlText w:val="-"/>
      <w:lvlJc w:val="left"/>
      <w:pPr>
        <w:ind w:left="720" w:hanging="360"/>
      </w:pPr>
      <w:rPr>
        <w:rFonts w:ascii="Arial" w:eastAsia="Times New Roman" w:hAnsi="Arial" w:hint="default"/>
      </w:rPr>
    </w:lvl>
    <w:lvl w:ilvl="1" w:tplc="0592222C" w:tentative="1">
      <w:start w:val="1"/>
      <w:numFmt w:val="bullet"/>
      <w:lvlText w:val="o"/>
      <w:lvlJc w:val="left"/>
      <w:pPr>
        <w:ind w:left="1440" w:hanging="360"/>
      </w:pPr>
      <w:rPr>
        <w:rFonts w:ascii="Courier New" w:hAnsi="Courier New" w:hint="default"/>
      </w:rPr>
    </w:lvl>
    <w:lvl w:ilvl="2" w:tplc="360848AA" w:tentative="1">
      <w:start w:val="1"/>
      <w:numFmt w:val="bullet"/>
      <w:lvlText w:val=""/>
      <w:lvlJc w:val="left"/>
      <w:pPr>
        <w:ind w:left="2160" w:hanging="360"/>
      </w:pPr>
      <w:rPr>
        <w:rFonts w:ascii="Wingdings" w:hAnsi="Wingdings" w:hint="default"/>
      </w:rPr>
    </w:lvl>
    <w:lvl w:ilvl="3" w:tplc="33D860EA" w:tentative="1">
      <w:start w:val="1"/>
      <w:numFmt w:val="bullet"/>
      <w:lvlText w:val=""/>
      <w:lvlJc w:val="left"/>
      <w:pPr>
        <w:ind w:left="2880" w:hanging="360"/>
      </w:pPr>
      <w:rPr>
        <w:rFonts w:ascii="Symbol" w:hAnsi="Symbol" w:hint="default"/>
      </w:rPr>
    </w:lvl>
    <w:lvl w:ilvl="4" w:tplc="6EC4AD2A" w:tentative="1">
      <w:start w:val="1"/>
      <w:numFmt w:val="bullet"/>
      <w:lvlText w:val="o"/>
      <w:lvlJc w:val="left"/>
      <w:pPr>
        <w:ind w:left="3600" w:hanging="360"/>
      </w:pPr>
      <w:rPr>
        <w:rFonts w:ascii="Courier New" w:hAnsi="Courier New" w:hint="default"/>
      </w:rPr>
    </w:lvl>
    <w:lvl w:ilvl="5" w:tplc="CF1E6664" w:tentative="1">
      <w:start w:val="1"/>
      <w:numFmt w:val="bullet"/>
      <w:lvlText w:val=""/>
      <w:lvlJc w:val="left"/>
      <w:pPr>
        <w:ind w:left="4320" w:hanging="360"/>
      </w:pPr>
      <w:rPr>
        <w:rFonts w:ascii="Wingdings" w:hAnsi="Wingdings" w:hint="default"/>
      </w:rPr>
    </w:lvl>
    <w:lvl w:ilvl="6" w:tplc="8EA6D898" w:tentative="1">
      <w:start w:val="1"/>
      <w:numFmt w:val="bullet"/>
      <w:lvlText w:val=""/>
      <w:lvlJc w:val="left"/>
      <w:pPr>
        <w:ind w:left="5040" w:hanging="360"/>
      </w:pPr>
      <w:rPr>
        <w:rFonts w:ascii="Symbol" w:hAnsi="Symbol" w:hint="default"/>
      </w:rPr>
    </w:lvl>
    <w:lvl w:ilvl="7" w:tplc="BE7AECF2" w:tentative="1">
      <w:start w:val="1"/>
      <w:numFmt w:val="bullet"/>
      <w:lvlText w:val="o"/>
      <w:lvlJc w:val="left"/>
      <w:pPr>
        <w:ind w:left="5760" w:hanging="360"/>
      </w:pPr>
      <w:rPr>
        <w:rFonts w:ascii="Courier New" w:hAnsi="Courier New" w:hint="default"/>
      </w:rPr>
    </w:lvl>
    <w:lvl w:ilvl="8" w:tplc="BF747C1A"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6A"/>
    <w:rsid w:val="000353A4"/>
    <w:rsid w:val="00037C01"/>
    <w:rsid w:val="00090D94"/>
    <w:rsid w:val="00127E8E"/>
    <w:rsid w:val="0014733C"/>
    <w:rsid w:val="002570A6"/>
    <w:rsid w:val="002665C9"/>
    <w:rsid w:val="00293FD7"/>
    <w:rsid w:val="002E3B95"/>
    <w:rsid w:val="002F7AEF"/>
    <w:rsid w:val="00337F53"/>
    <w:rsid w:val="00356144"/>
    <w:rsid w:val="00483A7F"/>
    <w:rsid w:val="004E0A81"/>
    <w:rsid w:val="00580BB0"/>
    <w:rsid w:val="005C7AB7"/>
    <w:rsid w:val="006669A7"/>
    <w:rsid w:val="007869BB"/>
    <w:rsid w:val="00826B8A"/>
    <w:rsid w:val="00890D7B"/>
    <w:rsid w:val="008A4A6E"/>
    <w:rsid w:val="008C66E9"/>
    <w:rsid w:val="009A6E2E"/>
    <w:rsid w:val="00A15465"/>
    <w:rsid w:val="00A348EF"/>
    <w:rsid w:val="00A64F60"/>
    <w:rsid w:val="00AC5C20"/>
    <w:rsid w:val="00AD7475"/>
    <w:rsid w:val="00AF43DB"/>
    <w:rsid w:val="00C25250"/>
    <w:rsid w:val="00C56BD3"/>
    <w:rsid w:val="00CC73EE"/>
    <w:rsid w:val="00CF57CD"/>
    <w:rsid w:val="00DC13DD"/>
    <w:rsid w:val="00E5653E"/>
    <w:rsid w:val="00EA2379"/>
    <w:rsid w:val="00F47250"/>
    <w:rsid w:val="00F50A6A"/>
    <w:rsid w:val="00F60A0D"/>
    <w:rsid w:val="00FF0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3A7F"/>
    <w:pPr>
      <w:widowControl w:val="0"/>
      <w:ind w:firstLine="720"/>
      <w:jc w:val="both"/>
    </w:pPr>
    <w:rPr>
      <w:rFonts w:ascii="Times New Roman" w:hAnsi="Times New Roman"/>
      <w:sz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320"/>
        <w:tab w:val="right" w:pos="8640"/>
      </w:tabs>
    </w:pPr>
  </w:style>
  <w:style w:type="character" w:customStyle="1" w:styleId="GalveneRakstz">
    <w:name w:val="Galvene Rakstz."/>
    <w:basedOn w:val="Noklusjumarindkopasfonts"/>
    <w:link w:val="Galvene"/>
    <w:uiPriority w:val="99"/>
    <w:locked/>
    <w:rPr>
      <w:rFonts w:cs="Times New Roman"/>
    </w:rPr>
  </w:style>
  <w:style w:type="paragraph" w:styleId="Kjene">
    <w:name w:val="footer"/>
    <w:basedOn w:val="Parasts"/>
    <w:link w:val="KjeneRakstz"/>
    <w:uiPriority w:val="99"/>
    <w:pPr>
      <w:tabs>
        <w:tab w:val="center" w:pos="4320"/>
        <w:tab w:val="right" w:pos="8640"/>
      </w:tabs>
    </w:pPr>
  </w:style>
  <w:style w:type="character" w:customStyle="1" w:styleId="KjeneRakstz">
    <w:name w:val="Kājene Rakstz."/>
    <w:basedOn w:val="Noklusjumarindkopasfonts"/>
    <w:link w:val="Kjene"/>
    <w:uiPriority w:val="99"/>
    <w:locked/>
    <w:rPr>
      <w:rFonts w:cs="Times New Roman"/>
    </w:rPr>
  </w:style>
  <w:style w:type="character" w:customStyle="1" w:styleId="body1">
    <w:name w:val="body1"/>
    <w:uiPriority w:val="99"/>
    <w:rPr>
      <w:rFonts w:ascii="Verdana" w:hAnsi="Verdana"/>
      <w:color w:val="000000"/>
      <w:sz w:val="14"/>
    </w:rPr>
  </w:style>
  <w:style w:type="character" w:styleId="Hipersaite">
    <w:name w:val="Hyperlink"/>
    <w:basedOn w:val="Noklusjumarindkopasfonts"/>
    <w:uiPriority w:val="99"/>
    <w:rPr>
      <w:rFonts w:cs="Times New Roman"/>
      <w:color w:val="0000FF"/>
      <w:u w:val="single"/>
    </w:rPr>
  </w:style>
  <w:style w:type="paragraph" w:styleId="Vienkrsteksts">
    <w:name w:val="Plain Text"/>
    <w:basedOn w:val="Parasts"/>
    <w:link w:val="VienkrstekstsRakstz"/>
    <w:uiPriority w:val="99"/>
    <w:semiHidden/>
    <w:pPr>
      <w:widowControl/>
    </w:pPr>
    <w:rPr>
      <w:rFonts w:ascii="Calibri" w:hAnsi="Calibri"/>
      <w:sz w:val="20"/>
      <w:szCs w:val="21"/>
      <w:lang w:val="lv-LV" w:eastAsia="lv-LV"/>
    </w:rPr>
  </w:style>
  <w:style w:type="character" w:customStyle="1" w:styleId="VienkrstekstsRakstz">
    <w:name w:val="Vienkāršs teksts Rakstz."/>
    <w:basedOn w:val="Noklusjumarindkopasfonts"/>
    <w:link w:val="Vienkrsteksts"/>
    <w:uiPriority w:val="99"/>
    <w:semiHidden/>
    <w:locked/>
    <w:rPr>
      <w:rFonts w:ascii="Calibri" w:eastAsia="Times New Roman" w:hAnsi="Calibri"/>
      <w:sz w:val="21"/>
      <w:lang w:val="lv-LV"/>
    </w:rPr>
  </w:style>
  <w:style w:type="paragraph" w:styleId="Balonteksts">
    <w:name w:val="Balloon Text"/>
    <w:basedOn w:val="Parasts"/>
    <w:link w:val="BalontekstsRakstz"/>
    <w:uiPriority w:val="99"/>
    <w:semiHidden/>
    <w:rPr>
      <w:rFonts w:ascii="Tahoma" w:hAnsi="Tahoma"/>
      <w:sz w:val="16"/>
      <w:szCs w:val="16"/>
      <w:lang w:val="lv-LV" w:eastAsia="lv-LV"/>
    </w:rPr>
  </w:style>
  <w:style w:type="character" w:customStyle="1" w:styleId="BalontekstsRakstz">
    <w:name w:val="Balonteksts Rakstz."/>
    <w:basedOn w:val="Noklusjumarindkopasfonts"/>
    <w:link w:val="Balonteksts"/>
    <w:uiPriority w:val="99"/>
    <w:semiHidden/>
    <w:locked/>
    <w:rPr>
      <w:rFonts w:ascii="Tahoma" w:hAnsi="Tahoma"/>
      <w:sz w:val="16"/>
    </w:rPr>
  </w:style>
  <w:style w:type="character" w:customStyle="1" w:styleId="naisf14ptRakstz">
    <w:name w:val="naisf + 14pt Rakstz."/>
    <w:link w:val="naisf14pt"/>
    <w:uiPriority w:val="99"/>
    <w:locked/>
    <w:rPr>
      <w:sz w:val="24"/>
    </w:rPr>
  </w:style>
  <w:style w:type="paragraph" w:customStyle="1" w:styleId="naisf14pt">
    <w:name w:val="naisf + 14pt"/>
    <w:basedOn w:val="Parasts"/>
    <w:link w:val="naisf14ptRakstz"/>
    <w:uiPriority w:val="99"/>
    <w:pPr>
      <w:widowControl/>
      <w:ind w:right="57" w:firstLine="709"/>
    </w:pPr>
    <w:rPr>
      <w:rFonts w:ascii="Calibri" w:hAnsi="Calibri"/>
      <w:sz w:val="28"/>
      <w:szCs w:val="24"/>
      <w:lang w:val="lv-LV" w:eastAsia="lv-LV"/>
    </w:rPr>
  </w:style>
  <w:style w:type="paragraph" w:styleId="Bezatstarpm">
    <w:name w:val="No Spacing"/>
    <w:uiPriority w:val="99"/>
    <w:qFormat/>
    <w:pPr>
      <w:widowControl w:val="0"/>
      <w:jc w:val="both"/>
    </w:pPr>
    <w:rPr>
      <w:rFonts w:ascii="Times New Roman" w:hAnsi="Times New Roman"/>
      <w:sz w:val="24"/>
      <w:lang w:val="en-US" w:eastAsia="en-US"/>
    </w:rPr>
  </w:style>
  <w:style w:type="paragraph" w:styleId="Sarakstarindkopa">
    <w:name w:val="List Paragraph"/>
    <w:basedOn w:val="Parasts"/>
    <w:uiPriority w:val="99"/>
    <w:qFormat/>
    <w:rsid w:val="002665C9"/>
    <w:pPr>
      <w:widowControl/>
      <w:spacing w:after="160" w:line="259" w:lineRule="auto"/>
      <w:ind w:left="720" w:firstLine="0"/>
      <w:contextualSpacing/>
      <w:jc w:val="left"/>
    </w:pPr>
    <w:rPr>
      <w:rFonts w:ascii="Calibri" w:hAnsi="Calibri"/>
      <w:sz w:val="22"/>
      <w:lang w:val="lv-LV"/>
    </w:rPr>
  </w:style>
  <w:style w:type="paragraph" w:styleId="Paraststmeklis">
    <w:name w:val="Normal (Web)"/>
    <w:basedOn w:val="Parasts"/>
    <w:uiPriority w:val="99"/>
    <w:semiHidden/>
    <w:rsid w:val="002665C9"/>
    <w:pPr>
      <w:widowControl/>
      <w:spacing w:before="100" w:beforeAutospacing="1" w:after="100" w:afterAutospacing="1"/>
      <w:ind w:firstLine="0"/>
      <w:jc w:val="left"/>
    </w:pPr>
    <w:rPr>
      <w:rFonts w:eastAsia="Times New Roman"/>
      <w:szCs w:val="24"/>
      <w:lang w:val="lv-LV" w:eastAsia="lv-LV"/>
    </w:rPr>
  </w:style>
  <w:style w:type="character" w:styleId="Izteiksmgs">
    <w:name w:val="Strong"/>
    <w:basedOn w:val="Noklusjumarindkopasfonts"/>
    <w:uiPriority w:val="99"/>
    <w:qFormat/>
    <w:rsid w:val="002665C9"/>
    <w:rPr>
      <w:rFonts w:cs="Times New Roman"/>
      <w:b/>
      <w:bCs/>
    </w:rPr>
  </w:style>
  <w:style w:type="character" w:customStyle="1" w:styleId="italic">
    <w:name w:val="italic"/>
    <w:basedOn w:val="Noklusjumarindkopasfonts"/>
    <w:uiPriority w:val="99"/>
    <w:rsid w:val="002665C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3A7F"/>
    <w:pPr>
      <w:widowControl w:val="0"/>
      <w:ind w:firstLine="720"/>
      <w:jc w:val="both"/>
    </w:pPr>
    <w:rPr>
      <w:rFonts w:ascii="Times New Roman" w:hAnsi="Times New Roman"/>
      <w:sz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320"/>
        <w:tab w:val="right" w:pos="8640"/>
      </w:tabs>
    </w:pPr>
  </w:style>
  <w:style w:type="character" w:customStyle="1" w:styleId="GalveneRakstz">
    <w:name w:val="Galvene Rakstz."/>
    <w:basedOn w:val="Noklusjumarindkopasfonts"/>
    <w:link w:val="Galvene"/>
    <w:uiPriority w:val="99"/>
    <w:locked/>
    <w:rPr>
      <w:rFonts w:cs="Times New Roman"/>
    </w:rPr>
  </w:style>
  <w:style w:type="paragraph" w:styleId="Kjene">
    <w:name w:val="footer"/>
    <w:basedOn w:val="Parasts"/>
    <w:link w:val="KjeneRakstz"/>
    <w:uiPriority w:val="99"/>
    <w:pPr>
      <w:tabs>
        <w:tab w:val="center" w:pos="4320"/>
        <w:tab w:val="right" w:pos="8640"/>
      </w:tabs>
    </w:pPr>
  </w:style>
  <w:style w:type="character" w:customStyle="1" w:styleId="KjeneRakstz">
    <w:name w:val="Kājene Rakstz."/>
    <w:basedOn w:val="Noklusjumarindkopasfonts"/>
    <w:link w:val="Kjene"/>
    <w:uiPriority w:val="99"/>
    <w:locked/>
    <w:rPr>
      <w:rFonts w:cs="Times New Roman"/>
    </w:rPr>
  </w:style>
  <w:style w:type="character" w:customStyle="1" w:styleId="body1">
    <w:name w:val="body1"/>
    <w:uiPriority w:val="99"/>
    <w:rPr>
      <w:rFonts w:ascii="Verdana" w:hAnsi="Verdana"/>
      <w:color w:val="000000"/>
      <w:sz w:val="14"/>
    </w:rPr>
  </w:style>
  <w:style w:type="character" w:styleId="Hipersaite">
    <w:name w:val="Hyperlink"/>
    <w:basedOn w:val="Noklusjumarindkopasfonts"/>
    <w:uiPriority w:val="99"/>
    <w:rPr>
      <w:rFonts w:cs="Times New Roman"/>
      <w:color w:val="0000FF"/>
      <w:u w:val="single"/>
    </w:rPr>
  </w:style>
  <w:style w:type="paragraph" w:styleId="Vienkrsteksts">
    <w:name w:val="Plain Text"/>
    <w:basedOn w:val="Parasts"/>
    <w:link w:val="VienkrstekstsRakstz"/>
    <w:uiPriority w:val="99"/>
    <w:semiHidden/>
    <w:pPr>
      <w:widowControl/>
    </w:pPr>
    <w:rPr>
      <w:rFonts w:ascii="Calibri" w:hAnsi="Calibri"/>
      <w:sz w:val="20"/>
      <w:szCs w:val="21"/>
      <w:lang w:val="lv-LV" w:eastAsia="lv-LV"/>
    </w:rPr>
  </w:style>
  <w:style w:type="character" w:customStyle="1" w:styleId="VienkrstekstsRakstz">
    <w:name w:val="Vienkāršs teksts Rakstz."/>
    <w:basedOn w:val="Noklusjumarindkopasfonts"/>
    <w:link w:val="Vienkrsteksts"/>
    <w:uiPriority w:val="99"/>
    <w:semiHidden/>
    <w:locked/>
    <w:rPr>
      <w:rFonts w:ascii="Calibri" w:eastAsia="Times New Roman" w:hAnsi="Calibri"/>
      <w:sz w:val="21"/>
      <w:lang w:val="lv-LV"/>
    </w:rPr>
  </w:style>
  <w:style w:type="paragraph" w:styleId="Balonteksts">
    <w:name w:val="Balloon Text"/>
    <w:basedOn w:val="Parasts"/>
    <w:link w:val="BalontekstsRakstz"/>
    <w:uiPriority w:val="99"/>
    <w:semiHidden/>
    <w:rPr>
      <w:rFonts w:ascii="Tahoma" w:hAnsi="Tahoma"/>
      <w:sz w:val="16"/>
      <w:szCs w:val="16"/>
      <w:lang w:val="lv-LV" w:eastAsia="lv-LV"/>
    </w:rPr>
  </w:style>
  <w:style w:type="character" w:customStyle="1" w:styleId="BalontekstsRakstz">
    <w:name w:val="Balonteksts Rakstz."/>
    <w:basedOn w:val="Noklusjumarindkopasfonts"/>
    <w:link w:val="Balonteksts"/>
    <w:uiPriority w:val="99"/>
    <w:semiHidden/>
    <w:locked/>
    <w:rPr>
      <w:rFonts w:ascii="Tahoma" w:hAnsi="Tahoma"/>
      <w:sz w:val="16"/>
    </w:rPr>
  </w:style>
  <w:style w:type="character" w:customStyle="1" w:styleId="naisf14ptRakstz">
    <w:name w:val="naisf + 14pt Rakstz."/>
    <w:link w:val="naisf14pt"/>
    <w:uiPriority w:val="99"/>
    <w:locked/>
    <w:rPr>
      <w:sz w:val="24"/>
    </w:rPr>
  </w:style>
  <w:style w:type="paragraph" w:customStyle="1" w:styleId="naisf14pt">
    <w:name w:val="naisf + 14pt"/>
    <w:basedOn w:val="Parasts"/>
    <w:link w:val="naisf14ptRakstz"/>
    <w:uiPriority w:val="99"/>
    <w:pPr>
      <w:widowControl/>
      <w:ind w:right="57" w:firstLine="709"/>
    </w:pPr>
    <w:rPr>
      <w:rFonts w:ascii="Calibri" w:hAnsi="Calibri"/>
      <w:sz w:val="28"/>
      <w:szCs w:val="24"/>
      <w:lang w:val="lv-LV" w:eastAsia="lv-LV"/>
    </w:rPr>
  </w:style>
  <w:style w:type="paragraph" w:styleId="Bezatstarpm">
    <w:name w:val="No Spacing"/>
    <w:uiPriority w:val="99"/>
    <w:qFormat/>
    <w:pPr>
      <w:widowControl w:val="0"/>
      <w:jc w:val="both"/>
    </w:pPr>
    <w:rPr>
      <w:rFonts w:ascii="Times New Roman" w:hAnsi="Times New Roman"/>
      <w:sz w:val="24"/>
      <w:lang w:val="en-US" w:eastAsia="en-US"/>
    </w:rPr>
  </w:style>
  <w:style w:type="paragraph" w:styleId="Sarakstarindkopa">
    <w:name w:val="List Paragraph"/>
    <w:basedOn w:val="Parasts"/>
    <w:uiPriority w:val="99"/>
    <w:qFormat/>
    <w:rsid w:val="002665C9"/>
    <w:pPr>
      <w:widowControl/>
      <w:spacing w:after="160" w:line="259" w:lineRule="auto"/>
      <w:ind w:left="720" w:firstLine="0"/>
      <w:contextualSpacing/>
      <w:jc w:val="left"/>
    </w:pPr>
    <w:rPr>
      <w:rFonts w:ascii="Calibri" w:hAnsi="Calibri"/>
      <w:sz w:val="22"/>
      <w:lang w:val="lv-LV"/>
    </w:rPr>
  </w:style>
  <w:style w:type="paragraph" w:styleId="Paraststmeklis">
    <w:name w:val="Normal (Web)"/>
    <w:basedOn w:val="Parasts"/>
    <w:uiPriority w:val="99"/>
    <w:semiHidden/>
    <w:rsid w:val="002665C9"/>
    <w:pPr>
      <w:widowControl/>
      <w:spacing w:before="100" w:beforeAutospacing="1" w:after="100" w:afterAutospacing="1"/>
      <w:ind w:firstLine="0"/>
      <w:jc w:val="left"/>
    </w:pPr>
    <w:rPr>
      <w:rFonts w:eastAsia="Times New Roman"/>
      <w:szCs w:val="24"/>
      <w:lang w:val="lv-LV" w:eastAsia="lv-LV"/>
    </w:rPr>
  </w:style>
  <w:style w:type="character" w:styleId="Izteiksmgs">
    <w:name w:val="Strong"/>
    <w:basedOn w:val="Noklusjumarindkopasfonts"/>
    <w:uiPriority w:val="99"/>
    <w:qFormat/>
    <w:rsid w:val="002665C9"/>
    <w:rPr>
      <w:rFonts w:cs="Times New Roman"/>
      <w:b/>
      <w:bCs/>
    </w:rPr>
  </w:style>
  <w:style w:type="character" w:customStyle="1" w:styleId="italic">
    <w:name w:val="italic"/>
    <w:basedOn w:val="Noklusjumarindkopasfonts"/>
    <w:uiPriority w:val="99"/>
    <w:rsid w:val="002665C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qid=1565604713455&amp;uri=CELEX:32019R124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4165</Words>
  <Characters>2375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user</cp:lastModifiedBy>
  <cp:revision>2</cp:revision>
  <cp:lastPrinted>2019-08-21T11:22:00Z</cp:lastPrinted>
  <dcterms:created xsi:type="dcterms:W3CDTF">2019-08-28T08:18:00Z</dcterms:created>
  <dcterms:modified xsi:type="dcterms:W3CDTF">2019-08-28T08:18:00Z</dcterms:modified>
</cp:coreProperties>
</file>